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D7" w:rsidRDefault="00233406" w:rsidP="00C529D7">
      <w:pPr>
        <w:pStyle w:val="Bodytext20"/>
        <w:spacing w:after="180" w:line="240" w:lineRule="auto"/>
        <w:ind w:firstLine="0"/>
        <w:rPr>
          <w:rFonts w:eastAsiaTheme="minorEastAsia"/>
          <w:b/>
          <w:lang w:val="zh-CN" w:eastAsia="zh-CN" w:bidi="zh-CN"/>
        </w:rPr>
      </w:pPr>
      <w:r w:rsidRPr="00C529D7">
        <w:rPr>
          <w:rFonts w:ascii="宋体" w:eastAsia="宋体" w:hAnsi="宋体" w:cs="宋体"/>
          <w:b/>
          <w:sz w:val="28"/>
          <w:szCs w:val="28"/>
        </w:rPr>
        <w:t>附件</w:t>
      </w:r>
      <w:r w:rsidRPr="00C529D7">
        <w:rPr>
          <w:b/>
          <w:lang w:val="zh-CN" w:eastAsia="zh-CN" w:bidi="zh-CN"/>
        </w:rPr>
        <w:t>1</w:t>
      </w:r>
      <w:bookmarkStart w:id="0" w:name="bookmark9"/>
      <w:bookmarkStart w:id="1" w:name="bookmark8"/>
      <w:bookmarkStart w:id="2" w:name="bookmark10"/>
    </w:p>
    <w:p w:rsidR="0002380B" w:rsidRPr="00224278" w:rsidRDefault="00233406" w:rsidP="00C529D7">
      <w:pPr>
        <w:pStyle w:val="Bodytext20"/>
        <w:spacing w:after="180" w:line="240" w:lineRule="auto"/>
        <w:ind w:firstLine="0"/>
        <w:jc w:val="center"/>
        <w:rPr>
          <w:b/>
          <w:sz w:val="32"/>
          <w:szCs w:val="32"/>
        </w:rPr>
      </w:pPr>
      <w:r w:rsidRPr="00224278">
        <w:rPr>
          <w:rFonts w:ascii="宋体" w:eastAsia="宋体" w:hAnsi="宋体"/>
          <w:b/>
          <w:sz w:val="32"/>
          <w:szCs w:val="32"/>
        </w:rPr>
        <w:t>2023年度上海市教卫工作党委系统统战调研参考选题</w:t>
      </w:r>
      <w:bookmarkEnd w:id="0"/>
      <w:bookmarkEnd w:id="1"/>
      <w:bookmarkEnd w:id="2"/>
    </w:p>
    <w:p w:rsidR="0002380B" w:rsidRPr="00224278" w:rsidRDefault="00233406" w:rsidP="00224278">
      <w:pPr>
        <w:spacing w:line="360" w:lineRule="auto"/>
        <w:ind w:firstLineChars="200" w:firstLine="562"/>
        <w:rPr>
          <w:rFonts w:ascii="仿宋" w:eastAsia="仿宋" w:hAnsi="仿宋" w:cstheme="minorBidi"/>
          <w:b/>
          <w:color w:val="auto"/>
          <w:kern w:val="2"/>
          <w:sz w:val="28"/>
          <w:szCs w:val="28"/>
          <w:lang w:eastAsia="zh-CN" w:bidi="ar-SA"/>
        </w:rPr>
      </w:pPr>
      <w:bookmarkStart w:id="3" w:name="bookmark11"/>
      <w:r w:rsidRPr="00224278">
        <w:rPr>
          <w:rFonts w:ascii="仿宋" w:eastAsia="仿宋" w:hAnsi="仿宋" w:cstheme="minorBidi"/>
          <w:b/>
          <w:color w:val="auto"/>
          <w:kern w:val="2"/>
          <w:sz w:val="28"/>
          <w:szCs w:val="28"/>
          <w:lang w:eastAsia="zh-CN" w:bidi="ar-SA"/>
        </w:rPr>
        <w:t>一</w:t>
      </w:r>
      <w:bookmarkEnd w:id="3"/>
      <w:r w:rsidRPr="00224278">
        <w:rPr>
          <w:rFonts w:ascii="仿宋" w:eastAsia="仿宋" w:hAnsi="仿宋" w:cstheme="minorBidi"/>
          <w:b/>
          <w:color w:val="auto"/>
          <w:kern w:val="2"/>
          <w:sz w:val="28"/>
          <w:szCs w:val="28"/>
          <w:lang w:eastAsia="zh-CN" w:bidi="ar-SA"/>
        </w:rPr>
        <w:t>、</w:t>
      </w:r>
      <w:r w:rsidRPr="00224278">
        <w:rPr>
          <w:rFonts w:ascii="仿宋" w:eastAsia="仿宋" w:hAnsi="仿宋" w:cstheme="minorBidi"/>
          <w:b/>
          <w:color w:val="auto"/>
          <w:kern w:val="2"/>
          <w:sz w:val="28"/>
          <w:szCs w:val="28"/>
          <w:lang w:eastAsia="zh-CN" w:bidi="ar-SA"/>
        </w:rPr>
        <w:tab/>
        <w:t>重点课题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4" w:name="bookmark12"/>
      <w:bookmarkEnd w:id="4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贯彻落</w:t>
      </w:r>
      <w:proofErr w:type="gramStart"/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实习近</w:t>
      </w:r>
      <w:proofErr w:type="gramEnd"/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平总书记关于做好新时代党的统一战线工作的重要思想研究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5" w:name="bookmark13"/>
      <w:bookmarkEnd w:id="5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2.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中国新型政党制度研究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6" w:name="bookmark14"/>
      <w:bookmarkEnd w:id="6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3.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完善大统战工作格局研究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7" w:name="bookmark15"/>
      <w:bookmarkEnd w:id="7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4.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统一战线与全过程人民民主发展研究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8" w:name="bookmark16"/>
      <w:bookmarkEnd w:id="8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5.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中国式现代化与统一战线研究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ab/>
        <w:t>•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9" w:name="bookmark17"/>
      <w:bookmarkEnd w:id="9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6.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铸牢中华民族共同体意识研究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10" w:name="bookmark18"/>
      <w:bookmarkEnd w:id="10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7.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深入推进我国宗教中国化理论和实践研究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11" w:name="bookmark19"/>
      <w:bookmarkEnd w:id="11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8.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网络统战工作方法研究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12" w:name="bookmark20"/>
      <w:bookmarkEnd w:id="12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9.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统一战线与国家安全研究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13" w:name="bookmark21"/>
      <w:bookmarkEnd w:id="13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10.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统战文化建设研究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14" w:name="bookmark22"/>
      <w:bookmarkEnd w:id="14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11.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加强党外知识分子思想政治引领的实践研究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15" w:name="bookmark23"/>
      <w:bookmarkEnd w:id="15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12.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港澳台统战工作研究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16" w:name="bookmark24"/>
      <w:bookmarkEnd w:id="16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13.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上海市海归中坚人才支持政策研究</w:t>
      </w:r>
    </w:p>
    <w:p w:rsidR="0002380B" w:rsidRPr="00224278" w:rsidRDefault="00233406" w:rsidP="00224278">
      <w:pPr>
        <w:spacing w:line="360" w:lineRule="auto"/>
        <w:ind w:firstLineChars="200" w:firstLine="562"/>
        <w:rPr>
          <w:rFonts w:ascii="仿宋" w:eastAsia="仿宋" w:hAnsi="仿宋" w:cstheme="minorBidi"/>
          <w:b/>
          <w:color w:val="auto"/>
          <w:kern w:val="2"/>
          <w:sz w:val="28"/>
          <w:szCs w:val="28"/>
          <w:lang w:eastAsia="zh-CN" w:bidi="ar-SA"/>
        </w:rPr>
      </w:pPr>
      <w:bookmarkStart w:id="17" w:name="bookmark25"/>
      <w:r w:rsidRPr="00224278">
        <w:rPr>
          <w:rFonts w:ascii="仿宋" w:eastAsia="仿宋" w:hAnsi="仿宋" w:cstheme="minorBidi"/>
          <w:b/>
          <w:color w:val="auto"/>
          <w:kern w:val="2"/>
          <w:sz w:val="28"/>
          <w:szCs w:val="28"/>
          <w:lang w:eastAsia="zh-CN" w:bidi="ar-SA"/>
        </w:rPr>
        <w:t>二</w:t>
      </w:r>
      <w:bookmarkEnd w:id="17"/>
      <w:r w:rsidRPr="00224278">
        <w:rPr>
          <w:rFonts w:ascii="仿宋" w:eastAsia="仿宋" w:hAnsi="仿宋" w:cstheme="minorBidi"/>
          <w:b/>
          <w:color w:val="auto"/>
          <w:kern w:val="2"/>
          <w:sz w:val="28"/>
          <w:szCs w:val="28"/>
          <w:lang w:eastAsia="zh-CN" w:bidi="ar-SA"/>
        </w:rPr>
        <w:t>、</w:t>
      </w:r>
      <w:r w:rsidRPr="00224278">
        <w:rPr>
          <w:rFonts w:ascii="仿宋" w:eastAsia="仿宋" w:hAnsi="仿宋" w:cstheme="minorBidi"/>
          <w:b/>
          <w:color w:val="auto"/>
          <w:kern w:val="2"/>
          <w:sz w:val="28"/>
          <w:szCs w:val="28"/>
          <w:lang w:eastAsia="zh-CN" w:bidi="ar-SA"/>
        </w:rPr>
        <w:tab/>
        <w:t>参考选题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18" w:name="bookmark26"/>
      <w:bookmarkEnd w:id="18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上海高校培养输送党外代表人士工作研究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19" w:name="bookmark27"/>
      <w:bookmarkEnd w:id="19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2.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完善高校大统战格局研究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20" w:name="bookmark28"/>
      <w:bookmarkEnd w:id="20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3.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加强党员领导干部同党外代表人士常态化沟通机制的研究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21" w:name="bookmark29"/>
      <w:bookmarkEnd w:id="21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4.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加强知联会规范化建设研究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22" w:name="bookmark30"/>
      <w:bookmarkEnd w:id="22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5.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校友会助力海外统战研究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23" w:name="bookmark31"/>
      <w:bookmarkEnd w:id="23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6.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上海高校归国留学教师思想状况及对策研究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24" w:name="bookmark32"/>
      <w:bookmarkEnd w:id="24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7.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海外华文教育创新研究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25" w:name="bookmark33"/>
      <w:bookmarkEnd w:id="25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8.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髙校统战系统青年干部思想状况调研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26" w:name="bookmark34"/>
      <w:bookmarkEnd w:id="26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lastRenderedPageBreak/>
        <w:t>9.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新时代提升党外青年教师思政工作有效性的路径探索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27" w:name="bookmark35"/>
      <w:bookmarkEnd w:id="27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10.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新时代高校基层统战工作问题研究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28" w:name="bookmark36"/>
      <w:bookmarkEnd w:id="28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11.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新时代无党派人士队伍建设研究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29" w:name="bookmark37"/>
      <w:bookmarkEnd w:id="29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12.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推动新时代统一战线高质量发展的思路和举措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30" w:name="bookmark38"/>
      <w:bookmarkEnd w:id="30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13.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全过程人民民主的治理效能与实现路径研究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31" w:name="bookmark39"/>
      <w:bookmarkEnd w:id="31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14.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高校外籍华人教师思想政治工作的路径探索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32" w:name="bookmark40"/>
      <w:bookmarkEnd w:id="32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15.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上海党外代表人士实践锻炼的有效性研究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33" w:name="bookmark41"/>
      <w:bookmarkEnd w:id="33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16.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防范化解统一战线领域重大风险隐患的研究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34" w:name="bookmark42"/>
      <w:bookmarkEnd w:id="34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17.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宗教领域国家安全风险防范与应对能力现代化研究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35" w:name="bookmark43"/>
      <w:bookmarkEnd w:id="35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18.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高校民主党派年轻成员思想状况研究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36" w:name="bookmark44"/>
      <w:bookmarkEnd w:id="36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19.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高校民主党派</w:t>
      </w:r>
      <w:proofErr w:type="gramStart"/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履</w:t>
      </w:r>
      <w:proofErr w:type="gramEnd"/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职能力建设的研究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37" w:name="bookmark45"/>
      <w:bookmarkEnd w:id="37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20.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在沪港澳台青年群体社交模式及社会融入研究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38" w:name="bookmark46"/>
      <w:bookmarkEnd w:id="38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21.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沪港澳青少年交流机制与平台建设研究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39" w:name="bookmark47"/>
      <w:bookmarkEnd w:id="39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22.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新形势下上海高校民族工作现状与对策研究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40" w:name="bookmark48"/>
      <w:bookmarkEnd w:id="40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23.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统战新媒体传播力研究</w:t>
      </w:r>
    </w:p>
    <w:p w:rsidR="0002380B" w:rsidRPr="00224278" w:rsidRDefault="00224278" w:rsidP="00224278">
      <w:pPr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</w:pPr>
      <w:bookmarkStart w:id="41" w:name="bookmark49"/>
      <w:bookmarkEnd w:id="41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24.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上海统一战线历史文化资源保护利用的实践与思考</w:t>
      </w:r>
    </w:p>
    <w:p w:rsidR="0002380B" w:rsidRPr="00DE015A" w:rsidRDefault="00224278" w:rsidP="00224278">
      <w:pPr>
        <w:spacing w:line="360" w:lineRule="auto"/>
        <w:ind w:firstLineChars="200" w:firstLine="560"/>
        <w:rPr>
          <w:rFonts w:ascii="宋体" w:eastAsia="宋体" w:hAnsi="宋体"/>
          <w:color w:val="auto"/>
          <w:kern w:val="2"/>
          <w:lang w:eastAsia="zh-CN" w:bidi="ar-SA"/>
        </w:rPr>
        <w:sectPr w:rsidR="0002380B" w:rsidRPr="00DE015A">
          <w:footerReference w:type="even" r:id="rId9"/>
          <w:footerReference w:type="default" r:id="rId10"/>
          <w:type w:val="continuous"/>
          <w:pgSz w:w="11900" w:h="16840"/>
          <w:pgMar w:top="1240" w:right="1329" w:bottom="1490" w:left="1478" w:header="812" w:footer="3" w:gutter="0"/>
          <w:cols w:space="720"/>
          <w:docGrid w:linePitch="360"/>
        </w:sectPr>
      </w:pPr>
      <w:bookmarkStart w:id="42" w:name="bookmark50"/>
      <w:bookmarkEnd w:id="42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  <w:lang w:eastAsia="zh-CN" w:bidi="ar-SA"/>
        </w:rPr>
        <w:t>25.</w:t>
      </w:r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上海</w:t>
      </w:r>
      <w:proofErr w:type="gramStart"/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高校台</w:t>
      </w:r>
      <w:proofErr w:type="gramEnd"/>
      <w:r w:rsidR="00233406" w:rsidRPr="00224278">
        <w:rPr>
          <w:rFonts w:ascii="仿宋" w:eastAsia="仿宋" w:hAnsi="仿宋" w:cstheme="minorBidi"/>
          <w:color w:val="auto"/>
          <w:kern w:val="2"/>
          <w:sz w:val="28"/>
          <w:szCs w:val="28"/>
          <w:lang w:eastAsia="zh-CN" w:bidi="ar-SA"/>
        </w:rPr>
        <w:t>生工作开展情况调查及建议</w:t>
      </w:r>
      <w:bookmarkStart w:id="43" w:name="_GoBack"/>
      <w:bookmarkEnd w:id="43"/>
    </w:p>
    <w:p w:rsidR="0002380B" w:rsidRPr="00B56055" w:rsidRDefault="0002380B" w:rsidP="00B56055">
      <w:pPr>
        <w:spacing w:line="360" w:lineRule="auto"/>
        <w:jc w:val="both"/>
        <w:rPr>
          <w:rFonts w:ascii="宋体" w:eastAsia="宋体" w:hAnsi="宋体"/>
          <w:color w:val="auto"/>
          <w:kern w:val="2"/>
          <w:lang w:eastAsia="zh-CN" w:bidi="ar-SA"/>
        </w:rPr>
      </w:pPr>
    </w:p>
    <w:sectPr w:rsidR="0002380B" w:rsidRPr="00B56055">
      <w:footerReference w:type="even" r:id="rId11"/>
      <w:footerReference w:type="default" r:id="rId12"/>
      <w:pgSz w:w="11900" w:h="16840"/>
      <w:pgMar w:top="1240" w:right="1329" w:bottom="1490" w:left="147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59" w:rsidRDefault="00963E59"/>
  </w:endnote>
  <w:endnote w:type="continuationSeparator" w:id="0">
    <w:p w:rsidR="00963E59" w:rsidRDefault="00963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0B" w:rsidRDefault="00233406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45D7806" wp14:editId="40D280B4">
              <wp:simplePos x="0" y="0"/>
              <wp:positionH relativeFrom="page">
                <wp:posOffset>3810635</wp:posOffset>
              </wp:positionH>
              <wp:positionV relativeFrom="page">
                <wp:posOffset>9899650</wp:posOffset>
              </wp:positionV>
              <wp:extent cx="50165" cy="9588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380B" w:rsidRDefault="00233406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60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00.05pt;margin-top:779.5pt;width:3.95pt;height:7.5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" filled="f" stroked="f">
              <v:textbox style="mso-fit-shape-to-text:t" inset="0,0,0,0">
                <w:txbxContent>
                  <w:p w:rsidR="0002380B" w:rsidRDefault="00233406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60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0B" w:rsidRDefault="00233406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6A0636A" wp14:editId="3212B42C">
              <wp:simplePos x="0" y="0"/>
              <wp:positionH relativeFrom="page">
                <wp:posOffset>3810635</wp:posOffset>
              </wp:positionH>
              <wp:positionV relativeFrom="page">
                <wp:posOffset>9899650</wp:posOffset>
              </wp:positionV>
              <wp:extent cx="50165" cy="9588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380B" w:rsidRDefault="00233406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60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300.05pt;margin-top:779.5pt;width:3.95pt;height:7.5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" filled="f" stroked="f">
              <v:textbox style="mso-fit-shape-to-text:t" inset="0,0,0,0">
                <w:txbxContent>
                  <w:p w:rsidR="0002380B" w:rsidRDefault="00233406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60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0B" w:rsidRDefault="00233406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3810635</wp:posOffset>
              </wp:positionH>
              <wp:positionV relativeFrom="page">
                <wp:posOffset>9899650</wp:posOffset>
              </wp:positionV>
              <wp:extent cx="50165" cy="9588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380B" w:rsidRDefault="00233406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29D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300.05pt;margin-top:779.5pt;width:3.95pt;height:7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" filled="f" stroked="f">
              <v:textbox style="mso-fit-shape-to-text:t" inset="0,0,0,0">
                <w:txbxContent>
                  <w:p w:rsidR="0002380B" w:rsidRDefault="00233406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29D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0B" w:rsidRDefault="00233406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9810750</wp:posOffset>
              </wp:positionV>
              <wp:extent cx="50165" cy="9144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380B" w:rsidRDefault="00233406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605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298.7pt;margin-top:772.5pt;width:3.95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" filled="f" stroked="f">
              <v:textbox style="mso-fit-shape-to-text:t" inset="0,0,0,0">
                <w:txbxContent>
                  <w:p w:rsidR="0002380B" w:rsidRDefault="00233406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605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59" w:rsidRDefault="00963E59"/>
  </w:footnote>
  <w:footnote w:type="continuationSeparator" w:id="0">
    <w:p w:rsidR="00963E59" w:rsidRDefault="00963E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B0C28"/>
    <w:multiLevelType w:val="singleLevel"/>
    <w:tmpl w:val="D7DB0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DFB691AE"/>
    <w:multiLevelType w:val="singleLevel"/>
    <w:tmpl w:val="DFB69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2380B"/>
    <w:rsid w:val="0002380B"/>
    <w:rsid w:val="00224278"/>
    <w:rsid w:val="00233406"/>
    <w:rsid w:val="00963E59"/>
    <w:rsid w:val="00B56055"/>
    <w:rsid w:val="00C529D7"/>
    <w:rsid w:val="00DE015A"/>
    <w:rsid w:val="3FC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600" w:line="655" w:lineRule="exact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260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500" w:line="341" w:lineRule="auto"/>
      <w:ind w:firstLine="320"/>
    </w:pPr>
    <w:rPr>
      <w:sz w:val="30"/>
      <w:szCs w:val="30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pPr>
      <w:spacing w:after="11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pPr>
      <w:jc w:val="righ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after="260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rsid w:val="00C5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29D7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C529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29D7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Balloon Text"/>
    <w:basedOn w:val="a"/>
    <w:link w:val="Char1"/>
    <w:rsid w:val="00C529D7"/>
    <w:rPr>
      <w:sz w:val="18"/>
      <w:szCs w:val="18"/>
    </w:rPr>
  </w:style>
  <w:style w:type="character" w:customStyle="1" w:styleId="Char1">
    <w:name w:val="批注框文本 Char"/>
    <w:basedOn w:val="a0"/>
    <w:link w:val="a5"/>
    <w:rsid w:val="00C529D7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600" w:line="655" w:lineRule="exact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260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500" w:line="341" w:lineRule="auto"/>
      <w:ind w:firstLine="320"/>
    </w:pPr>
    <w:rPr>
      <w:sz w:val="30"/>
      <w:szCs w:val="30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pPr>
      <w:spacing w:after="11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pPr>
      <w:jc w:val="righ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after="260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rsid w:val="00C5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29D7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C529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29D7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Balloon Text"/>
    <w:basedOn w:val="a"/>
    <w:link w:val="Char1"/>
    <w:rsid w:val="00C529D7"/>
    <w:rPr>
      <w:sz w:val="18"/>
      <w:szCs w:val="18"/>
    </w:rPr>
  </w:style>
  <w:style w:type="character" w:customStyle="1" w:styleId="Char1">
    <w:name w:val="批注框文本 Char"/>
    <w:basedOn w:val="a0"/>
    <w:link w:val="a5"/>
    <w:rsid w:val="00C529D7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</cp:lastModifiedBy>
  <cp:revision>3</cp:revision>
  <dcterms:created xsi:type="dcterms:W3CDTF">2023-03-22T14:45:00Z</dcterms:created>
  <dcterms:modified xsi:type="dcterms:W3CDTF">2023-03-22T07:25:00Z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99AB0F0456CD546F41A41A64E7F4FE84_42</vt:lpwstr>
  </property>
</Properties>
</file>